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3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Nvidia Serv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